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2A9A7">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立派品牌VI手册使用规定</w:t>
      </w:r>
    </w:p>
    <w:p w14:paraId="0C988068">
      <w:pPr>
        <w:rPr>
          <w:rFonts w:hint="eastAsia" w:ascii="微软雅黑" w:hAnsi="微软雅黑" w:eastAsia="微软雅黑" w:cs="微软雅黑"/>
          <w:lang w:val="en-US" w:eastAsia="zh-CN"/>
        </w:rPr>
      </w:pPr>
    </w:p>
    <w:p w14:paraId="462DC338">
      <w:pPr>
        <w:numPr>
          <w:ilvl w:val="0"/>
          <w:numId w:val="1"/>
        </w:numPr>
        <w:jc w:val="left"/>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总则</w:t>
      </w:r>
    </w:p>
    <w:p w14:paraId="1358290C">
      <w:pPr>
        <w:numPr>
          <w:numId w:val="0"/>
        </w:numPr>
        <w:ind w:leftChars="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1【目的】</w:t>
      </w:r>
    </w:p>
    <w:p w14:paraId="0DEDFD47">
      <w:pPr>
        <w:numPr>
          <w:ilvl w:val="0"/>
          <w:numId w:val="2"/>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确保品牌视觉形象（VI）的标准化、统一性，提升品牌识别度和专业度。</w:t>
      </w:r>
    </w:p>
    <w:p w14:paraId="79FA79A1">
      <w:pPr>
        <w:numPr>
          <w:ilvl w:val="0"/>
          <w:numId w:val="2"/>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品牌形象手册，通过严格标准化的语言和系统化</w:t>
      </w:r>
      <w:bookmarkStart w:id="0" w:name="_GoBack"/>
      <w:bookmarkEnd w:id="0"/>
      <w:r>
        <w:rPr>
          <w:rFonts w:hint="eastAsia" w:ascii="微软雅黑" w:hAnsi="微软雅黑" w:eastAsia="微软雅黑" w:cs="微软雅黑"/>
          <w:lang w:val="en-US" w:eastAsia="zh-CN"/>
        </w:rPr>
        <w:t>的视觉符号，将品牌的服务宗旨、行为和功能传送给社会公众，具有突出品牌服务的功能，起到强化品牌形象的作用。</w:t>
      </w:r>
    </w:p>
    <w:p w14:paraId="44E0E312">
      <w:pPr>
        <w:rPr>
          <w:rFonts w:hint="eastAsia" w:ascii="微软雅黑" w:hAnsi="微软雅黑" w:eastAsia="微软雅黑" w:cs="微软雅黑"/>
          <w:lang w:val="en-US" w:eastAsia="zh-CN"/>
        </w:rPr>
      </w:pPr>
    </w:p>
    <w:p w14:paraId="2615878A">
      <w:pPr>
        <w:numPr>
          <w:numId w:val="0"/>
        </w:numPr>
        <w:ind w:leftChars="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 xml:space="preserve">2【适用范围】 </w:t>
      </w:r>
    </w:p>
    <w:p w14:paraId="6102631F">
      <w:pPr>
        <w:numPr>
          <w:ilvl w:val="0"/>
          <w:numId w:val="3"/>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公司所有部门、分支机构、合作方及第三方团队在涉及品牌视觉呈现的场景中均需遵守本规范。</w:t>
      </w:r>
    </w:p>
    <w:p w14:paraId="2FD1D667">
      <w:pPr>
        <w:numPr>
          <w:ilvl w:val="0"/>
          <w:numId w:val="3"/>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品牌形象手册自发布之日起，各有关单位应严格执行本手册所规定的各项规范，不得随意更改，以保证品牌形象的规范和统一，避免产生误导。本手册作为内部资料，是树立品牌形象的平台和依托，融汇了企业的经营理念与文化，各部门全体员工都应维护属于自己企业的知识产权，认真执行，严格管理不得向无关人员提供。</w:t>
      </w:r>
    </w:p>
    <w:p w14:paraId="40CB0006">
      <w:pPr>
        <w:rPr>
          <w:rFonts w:hint="eastAsia" w:ascii="微软雅黑" w:hAnsi="微软雅黑" w:eastAsia="微软雅黑" w:cs="微软雅黑"/>
          <w:lang w:val="en-US" w:eastAsia="zh-CN"/>
        </w:rPr>
      </w:pPr>
    </w:p>
    <w:p w14:paraId="5650B393">
      <w:pPr>
        <w:numPr>
          <w:ilvl w:val="0"/>
          <w:numId w:val="0"/>
        </w:num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3【</w:t>
      </w:r>
      <w:r>
        <w:rPr>
          <w:rFonts w:hint="eastAsia" w:ascii="微软雅黑" w:hAnsi="微软雅黑" w:eastAsia="微软雅黑" w:cs="微软雅黑"/>
          <w:b/>
          <w:bCs/>
          <w:sz w:val="24"/>
          <w:szCs w:val="24"/>
          <w:lang w:val="en-US" w:eastAsia="zh-CN"/>
        </w:rPr>
        <w:t>严格执行规定】</w:t>
      </w:r>
    </w:p>
    <w:p w14:paraId="65E63A36">
      <w:pPr>
        <w:numPr>
          <w:ilvl w:val="0"/>
          <w:numId w:val="4"/>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凡本手册明确规定的条文、规范和规格，如基本要素系统和应用系统中的各项具体规定，应严格遵守，不得随意更改。</w:t>
      </w:r>
    </w:p>
    <w:p w14:paraId="443F3AB8">
      <w:pPr>
        <w:numPr>
          <w:ilvl w:val="0"/>
          <w:numId w:val="4"/>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凡本手册只有图例没有具体规格、材质的项目，或说明中指出可以参照执行的，都应在不违反有关基本条款的前提下使用。</w:t>
      </w:r>
    </w:p>
    <w:p w14:paraId="37DF4EF6">
      <w:pPr>
        <w:numPr>
          <w:ilvl w:val="0"/>
          <w:numId w:val="4"/>
        </w:numPr>
        <w:ind w:left="420" w:leftChars="0" w:hanging="42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本手册尚未规定的部分，如今后新增的应用设计项目，凡涉及标志、标准字、标准色等基本要素的，必须严格遵守基本要素系统的有关规定，不得擅自更改，其具体表现形式、风格，也应参照本手册类似的应用设计项目，保持整体风格一致。</w:t>
      </w:r>
    </w:p>
    <w:p w14:paraId="6E4B7873">
      <w:pPr>
        <w:widowControl w:val="0"/>
        <w:numPr>
          <w:numId w:val="0"/>
        </w:numPr>
        <w:jc w:val="both"/>
        <w:rPr>
          <w:rFonts w:hint="eastAsia" w:ascii="微软雅黑" w:hAnsi="微软雅黑" w:eastAsia="微软雅黑" w:cs="微软雅黑"/>
          <w:lang w:val="en-US" w:eastAsia="zh-CN"/>
        </w:rPr>
      </w:pPr>
    </w:p>
    <w:p w14:paraId="527C6C26">
      <w:pPr>
        <w:numPr>
          <w:ilvl w:val="0"/>
          <w:numId w:val="1"/>
        </w:numPr>
        <w:jc w:val="left"/>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执行注意事项</w:t>
      </w:r>
    </w:p>
    <w:p w14:paraId="1D6C67FA">
      <w:pPr>
        <w:numPr>
          <w:numId w:val="0"/>
        </w:numPr>
        <w:ind w:leftChars="0"/>
        <w:rPr>
          <w:rFonts w:hint="eastAsia" w:ascii="微软雅黑" w:hAnsi="微软雅黑" w:eastAsia="微软雅黑" w:cs="微软雅黑"/>
          <w:lang w:val="en-US" w:eastAsia="zh-CN"/>
        </w:rPr>
      </w:pPr>
    </w:p>
    <w:p w14:paraId="05AEB2F6">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1【原图文件】</w:t>
      </w:r>
    </w:p>
    <w:p w14:paraId="2F069D98">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实施应用设计项目时，对使用的图形，应尽量从本手册所附文件中选取，在无法使用上述方法的情况下，可按本手册规定的制图法生成。</w:t>
      </w:r>
    </w:p>
    <w:p w14:paraId="6321FD00">
      <w:pPr>
        <w:rPr>
          <w:rFonts w:hint="eastAsia" w:ascii="微软雅黑" w:hAnsi="微软雅黑" w:eastAsia="微软雅黑" w:cs="微软雅黑"/>
          <w:lang w:val="en-US" w:eastAsia="zh-CN"/>
        </w:rPr>
      </w:pPr>
    </w:p>
    <w:p w14:paraId="086B1D82">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2【</w:t>
      </w:r>
      <w:r>
        <w:rPr>
          <w:rFonts w:hint="eastAsia" w:ascii="微软雅黑" w:hAnsi="微软雅黑" w:eastAsia="微软雅黑" w:cs="微软雅黑"/>
          <w:b/>
          <w:bCs/>
          <w:sz w:val="24"/>
          <w:szCs w:val="24"/>
          <w:lang w:val="en-US" w:eastAsia="zh-CN"/>
        </w:rPr>
        <w:t>文件制作】</w:t>
      </w:r>
    </w:p>
    <w:p w14:paraId="26C47281">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规范文件主要是logo位置、颜色、字体、比例、版式设计按标准规范使用，在制图规范指南下落地过程中具体尺寸、材质、可根据实际情况调整，尽量采用误差小的使用方式。</w:t>
      </w:r>
    </w:p>
    <w:p w14:paraId="2FF046D5">
      <w:pPr>
        <w:rPr>
          <w:rFonts w:hint="eastAsia" w:ascii="微软雅黑" w:hAnsi="微软雅黑" w:eastAsia="微软雅黑" w:cs="微软雅黑"/>
          <w:lang w:val="en-US" w:eastAsia="zh-CN"/>
        </w:rPr>
      </w:pPr>
    </w:p>
    <w:p w14:paraId="5FA4B958">
      <w:pP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3【</w:t>
      </w:r>
      <w:r>
        <w:rPr>
          <w:rFonts w:hint="eastAsia" w:ascii="微软雅黑" w:hAnsi="微软雅黑" w:eastAsia="微软雅黑" w:cs="微软雅黑"/>
          <w:b/>
          <w:bCs/>
          <w:sz w:val="24"/>
          <w:szCs w:val="24"/>
          <w:lang w:val="en-US" w:eastAsia="zh-CN"/>
        </w:rPr>
        <w:t>现场复尺】</w:t>
      </w:r>
    </w:p>
    <w:p w14:paraId="6EA0BF11">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各类应用制作文件，设计前需要在现场做一下复尺工作，确保尺寸大小符合现场的视觉感受。最终依据规范制作，最终所需尺寸文件，尽量采用误差小的使用方式。</w:t>
      </w:r>
    </w:p>
    <w:p w14:paraId="599F1BB7">
      <w:pPr>
        <w:rPr>
          <w:rFonts w:hint="eastAsia" w:ascii="微软雅黑" w:hAnsi="微软雅黑" w:eastAsia="微软雅黑" w:cs="微软雅黑"/>
          <w:lang w:val="en-US" w:eastAsia="zh-CN"/>
        </w:rPr>
      </w:pPr>
    </w:p>
    <w:p w14:paraId="485AED83">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4【</w:t>
      </w:r>
      <w:r>
        <w:rPr>
          <w:rFonts w:hint="eastAsia" w:ascii="微软雅黑" w:hAnsi="微软雅黑" w:eastAsia="微软雅黑" w:cs="微软雅黑"/>
          <w:b/>
          <w:bCs/>
          <w:sz w:val="24"/>
          <w:szCs w:val="24"/>
          <w:lang w:val="en-US" w:eastAsia="zh-CN"/>
        </w:rPr>
        <w:t>制作打样】</w:t>
      </w:r>
    </w:p>
    <w:p w14:paraId="5A134958">
      <w:pPr>
        <w:numPr>
          <w:ilvl w:val="0"/>
          <w:numId w:val="5"/>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所有文件在下单做大样之前都可以让供应商进行打样确认，避免成本的浪费。</w:t>
      </w:r>
    </w:p>
    <w:p w14:paraId="206FCF1B">
      <w:pPr>
        <w:numPr>
          <w:ilvl w:val="0"/>
          <w:numId w:val="5"/>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如果涉及到色彩样稿可以让供应商提供深、中、浅三个样板，最终按需确认。</w:t>
      </w:r>
    </w:p>
    <w:p w14:paraId="3E2AEB75">
      <w:pPr>
        <w:rPr>
          <w:rFonts w:hint="eastAsia" w:ascii="微软雅黑" w:hAnsi="微软雅黑" w:eastAsia="微软雅黑" w:cs="微软雅黑"/>
          <w:lang w:val="en-US" w:eastAsia="zh-CN"/>
        </w:rPr>
      </w:pPr>
    </w:p>
    <w:p w14:paraId="7C8D4E89">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5【</w:t>
      </w:r>
      <w:r>
        <w:rPr>
          <w:rFonts w:hint="eastAsia" w:ascii="微软雅黑" w:hAnsi="微软雅黑" w:eastAsia="微软雅黑" w:cs="微软雅黑"/>
          <w:b/>
          <w:bCs/>
          <w:sz w:val="24"/>
          <w:szCs w:val="24"/>
          <w:lang w:val="en-US" w:eastAsia="zh-CN"/>
        </w:rPr>
        <w:t>色彩要求】</w:t>
      </w:r>
    </w:p>
    <w:p w14:paraId="1D9CF1FB">
      <w:pPr>
        <w:numPr>
          <w:ilvl w:val="0"/>
          <w:numId w:val="6"/>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对使用的色彩，应按本手册提供的印刷样票在晴天室内光线充足的条件下的效果为基准。</w:t>
      </w:r>
    </w:p>
    <w:p w14:paraId="7D4E0E53">
      <w:pPr>
        <w:numPr>
          <w:ilvl w:val="0"/>
          <w:numId w:val="6"/>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因为即使同一色彩标准值，不同材质、不同光照色彩效果也有很大的差异，尽量统一光照环境和显示模式核对色彩，控制最小误差（误差率≤5%）。 </w:t>
      </w:r>
    </w:p>
    <w:p w14:paraId="47E4011A">
      <w:pPr>
        <w:numPr>
          <w:ilvl w:val="0"/>
          <w:numId w:val="6"/>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因不同媒介、软件、媒体显示模式差异，色彩色值会波动偏差，色值不可取巧不可吸管直接吸取；标准色彩色值必须按VI手册提供的色值，以数值方式输入。</w:t>
      </w:r>
    </w:p>
    <w:p w14:paraId="0CA2BED3">
      <w:pPr>
        <w:rPr>
          <w:rFonts w:hint="eastAsia" w:ascii="微软雅黑" w:hAnsi="微软雅黑" w:eastAsia="微软雅黑" w:cs="微软雅黑"/>
          <w:lang w:val="en-US" w:eastAsia="zh-CN"/>
        </w:rPr>
      </w:pPr>
    </w:p>
    <w:p w14:paraId="3D370B43">
      <w:pPr>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6【版权要求】</w:t>
      </w:r>
    </w:p>
    <w:p w14:paraId="01854B15">
      <w:pPr>
        <w:rPr>
          <w:rFonts w:hint="eastAsia" w:ascii="微软雅黑" w:hAnsi="微软雅黑" w:eastAsia="微软雅黑" w:cs="微软雅黑"/>
          <w:color w:val="auto"/>
          <w:lang w:val="en-US" w:eastAsia="zh-CN"/>
        </w:rPr>
      </w:pPr>
      <w:r>
        <w:rPr>
          <w:rFonts w:hint="eastAsia" w:ascii="微软雅黑" w:hAnsi="微软雅黑" w:eastAsia="微软雅黑" w:cs="微软雅黑"/>
          <w:color w:val="auto"/>
          <w:lang w:val="en-US" w:eastAsia="zh-CN"/>
        </w:rPr>
        <w:t>使用规范规定的中英字体、图形，禁止擅自使用非授权商用字体、图片、声音、影像等非授权要素。</w:t>
      </w:r>
    </w:p>
    <w:p w14:paraId="1DA1EC6A">
      <w:pPr>
        <w:widowControl w:val="0"/>
        <w:numPr>
          <w:numId w:val="0"/>
        </w:numPr>
        <w:jc w:val="both"/>
        <w:rPr>
          <w:rFonts w:hint="default" w:ascii="微软雅黑" w:hAnsi="微软雅黑" w:eastAsia="微软雅黑" w:cs="微软雅黑"/>
          <w:lang w:val="en-US" w:eastAsia="zh-CN"/>
        </w:rPr>
      </w:pPr>
    </w:p>
    <w:p w14:paraId="5D8D3F30">
      <w:pPr>
        <w:widowControl w:val="0"/>
        <w:numPr>
          <w:numId w:val="0"/>
        </w:numPr>
        <w:jc w:val="both"/>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7【</w:t>
      </w:r>
      <w:r>
        <w:rPr>
          <w:rFonts w:hint="default" w:ascii="微软雅黑" w:hAnsi="微软雅黑" w:eastAsia="微软雅黑" w:cs="微软雅黑"/>
          <w:b/>
          <w:bCs/>
          <w:sz w:val="24"/>
          <w:szCs w:val="24"/>
          <w:lang w:val="en-US" w:eastAsia="zh-CN"/>
        </w:rPr>
        <w:t>版本管理</w:t>
      </w:r>
      <w:r>
        <w:rPr>
          <w:rFonts w:hint="eastAsia" w:ascii="微软雅黑" w:hAnsi="微软雅黑" w:eastAsia="微软雅黑" w:cs="微软雅黑"/>
          <w:sz w:val="24"/>
          <w:szCs w:val="24"/>
          <w:lang w:val="en-US" w:eastAsia="zh-CN"/>
        </w:rPr>
        <w:t>】</w:t>
      </w:r>
      <w:r>
        <w:rPr>
          <w:rFonts w:hint="default" w:ascii="微软雅黑" w:hAnsi="微软雅黑" w:eastAsia="微软雅黑" w:cs="微软雅黑"/>
          <w:b/>
          <w:bCs/>
          <w:sz w:val="24"/>
          <w:szCs w:val="24"/>
          <w:lang w:val="en-US" w:eastAsia="zh-CN"/>
        </w:rPr>
        <w:t xml:space="preserve"> </w:t>
      </w:r>
    </w:p>
    <w:p w14:paraId="1BDFC926">
      <w:pPr>
        <w:numPr>
          <w:ilvl w:val="0"/>
          <w:numId w:val="7"/>
        </w:numPr>
        <w:ind w:left="425" w:leftChars="0" w:hanging="425" w:firstLineChars="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凡标志、标准字、标准色、应用规范等文件，</w:t>
      </w:r>
      <w:r>
        <w:rPr>
          <w:rFonts w:hint="default" w:ascii="微软雅黑" w:hAnsi="微软雅黑" w:eastAsia="微软雅黑" w:cs="微软雅黑"/>
          <w:lang w:val="en-US" w:eastAsia="zh-CN"/>
        </w:rPr>
        <w:t>仅使用</w:t>
      </w:r>
      <w:r>
        <w:rPr>
          <w:rFonts w:hint="eastAsia" w:ascii="微软雅黑" w:hAnsi="微软雅黑" w:eastAsia="微软雅黑" w:cs="微软雅黑"/>
          <w:lang w:val="en-US" w:eastAsia="zh-CN"/>
        </w:rPr>
        <w:t>品牌最终</w:t>
      </w:r>
      <w:r>
        <w:rPr>
          <w:rFonts w:hint="default" w:ascii="微软雅黑" w:hAnsi="微软雅黑" w:eastAsia="微软雅黑" w:cs="微软雅黑"/>
          <w:lang w:val="en-US" w:eastAsia="zh-CN"/>
        </w:rPr>
        <w:t>发布的VI手册</w:t>
      </w:r>
      <w:r>
        <w:rPr>
          <w:rFonts w:hint="eastAsia" w:ascii="微软雅黑" w:hAnsi="微软雅黑" w:eastAsia="微软雅黑" w:cs="微软雅黑"/>
          <w:lang w:val="en-US" w:eastAsia="zh-CN"/>
        </w:rPr>
        <w:t>版本</w:t>
      </w:r>
      <w:r>
        <w:rPr>
          <w:rFonts w:hint="default" w:ascii="微软雅黑" w:hAnsi="微软雅黑" w:eastAsia="微软雅黑" w:cs="微软雅黑"/>
          <w:lang w:val="en-US" w:eastAsia="zh-CN"/>
        </w:rPr>
        <w:t>，旧版本文件需销毁或标记作废。</w:t>
      </w:r>
    </w:p>
    <w:p w14:paraId="7F53FF0F">
      <w:pPr>
        <w:numPr>
          <w:ilvl w:val="0"/>
          <w:numId w:val="7"/>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本手册将根据实践中提出的问题进行更新，使用时的指导、解释及修订权在立派。</w:t>
      </w:r>
    </w:p>
    <w:p w14:paraId="580BD3AD">
      <w:pPr>
        <w:rPr>
          <w:rFonts w:hint="eastAsia" w:ascii="微软雅黑" w:hAnsi="微软雅黑" w:eastAsia="微软雅黑" w:cs="微软雅黑"/>
          <w:b/>
          <w:bCs/>
          <w:lang w:val="en-US" w:eastAsia="zh-CN"/>
        </w:rPr>
      </w:pPr>
    </w:p>
    <w:p w14:paraId="0B77992A">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8【传阅与管控</w:t>
      </w:r>
      <w:r>
        <w:rPr>
          <w:rFonts w:hint="eastAsia" w:ascii="微软雅黑" w:hAnsi="微软雅黑" w:eastAsia="微软雅黑" w:cs="微软雅黑"/>
          <w:sz w:val="24"/>
          <w:szCs w:val="24"/>
          <w:lang w:val="en-US" w:eastAsia="zh-CN"/>
        </w:rPr>
        <w:t>】</w:t>
      </w:r>
    </w:p>
    <w:p w14:paraId="70C115E4">
      <w:pPr>
        <w:numPr>
          <w:ilvl w:val="0"/>
          <w:numId w:val="8"/>
        </w:numPr>
        <w:ind w:left="425" w:leftChars="0" w:hanging="425" w:firstLineChars="0"/>
        <w:rPr>
          <w:rFonts w:hint="default" w:ascii="微软雅黑" w:hAnsi="微软雅黑" w:eastAsia="微软雅黑" w:cs="微软雅黑"/>
          <w:lang w:val="en-US" w:eastAsia="zh-CN"/>
        </w:rPr>
      </w:pPr>
      <w:r>
        <w:rPr>
          <w:rFonts w:hint="default" w:ascii="微软雅黑" w:hAnsi="微软雅黑" w:eastAsia="微软雅黑" w:cs="微软雅黑"/>
          <w:lang w:val="en-US" w:eastAsia="zh-CN"/>
        </w:rPr>
        <w:t>标志等应用文件仅可使用规定的设计原图，给以第三制作方</w:t>
      </w:r>
      <w:r>
        <w:rPr>
          <w:rFonts w:hint="eastAsia" w:ascii="微软雅黑" w:hAnsi="微软雅黑" w:eastAsia="微软雅黑" w:cs="微软雅黑"/>
          <w:lang w:val="en-US" w:eastAsia="zh-CN"/>
        </w:rPr>
        <w:t>。</w:t>
      </w:r>
      <w:r>
        <w:rPr>
          <w:rFonts w:hint="default" w:ascii="微软雅黑" w:hAnsi="微软雅黑" w:eastAsia="微软雅黑" w:cs="微软雅黑"/>
          <w:lang w:val="en-US" w:eastAsia="zh-CN"/>
        </w:rPr>
        <w:t>同时，对我们的品牌指导手册进行严格保密。</w:t>
      </w:r>
    </w:p>
    <w:p w14:paraId="6AFBC74D">
      <w:pPr>
        <w:numPr>
          <w:ilvl w:val="0"/>
          <w:numId w:val="8"/>
        </w:numPr>
        <w:ind w:left="425" w:leftChars="0" w:hanging="425" w:firstLineChars="0"/>
        <w:rPr>
          <w:rFonts w:hint="default" w:ascii="微软雅黑" w:hAnsi="微软雅黑" w:eastAsia="微软雅黑" w:cs="微软雅黑"/>
          <w:lang w:val="en-US" w:eastAsia="zh-CN"/>
        </w:rPr>
      </w:pPr>
      <w:r>
        <w:rPr>
          <w:rFonts w:hint="default" w:ascii="微软雅黑" w:hAnsi="微软雅黑" w:eastAsia="微软雅黑" w:cs="微软雅黑"/>
          <w:lang w:val="en-US" w:eastAsia="zh-CN"/>
        </w:rPr>
        <w:t>为避免VI手册被第三方广泛传播阅读，在传送文件时应只发送所需的VI手册其中个别的页面，特殊情况需大量内容时，请将PDF文件设置加密，以免多人拥有文件进行资料售卖或假冒抄袭。</w:t>
      </w:r>
    </w:p>
    <w:p w14:paraId="68DFB1E0">
      <w:pPr>
        <w:numPr>
          <w:ilvl w:val="0"/>
          <w:numId w:val="8"/>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供应商/第三方公司须签署《VI使用保密协议》，违规操作视为违约。</w:t>
      </w:r>
    </w:p>
    <w:p w14:paraId="29C315B8">
      <w:pPr>
        <w:numPr>
          <w:ilvl w:val="0"/>
          <w:numId w:val="1"/>
        </w:numPr>
        <w:jc w:val="left"/>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责任分工与流程审核</w:t>
      </w:r>
    </w:p>
    <w:p w14:paraId="487E7F68">
      <w:pPr>
        <w:rPr>
          <w:rFonts w:hint="eastAsia" w:ascii="微软雅黑" w:hAnsi="微软雅黑" w:eastAsia="微软雅黑" w:cs="微软雅黑"/>
          <w:lang w:val="en-US" w:eastAsia="zh-CN"/>
        </w:rPr>
      </w:pPr>
    </w:p>
    <w:p w14:paraId="789D700E">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9</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b/>
          <w:bCs/>
          <w:sz w:val="24"/>
          <w:szCs w:val="24"/>
          <w:lang w:val="en-US" w:eastAsia="zh-CN"/>
        </w:rPr>
        <w:t>部门职责</w:t>
      </w:r>
      <w:r>
        <w:rPr>
          <w:rFonts w:hint="eastAsia" w:ascii="微软雅黑" w:hAnsi="微软雅黑" w:eastAsia="微软雅黑" w:cs="微软雅黑"/>
          <w:sz w:val="24"/>
          <w:szCs w:val="24"/>
          <w:lang w:val="en-US" w:eastAsia="zh-CN"/>
        </w:rPr>
        <w:t>】</w:t>
      </w:r>
    </w:p>
    <w:p w14:paraId="0C156CF4">
      <w:pPr>
        <w:numPr>
          <w:ilvl w:val="0"/>
          <w:numId w:val="9"/>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设计部：按手册标准执行设计。</w:t>
      </w:r>
    </w:p>
    <w:p w14:paraId="37EA8F31">
      <w:pPr>
        <w:numPr>
          <w:ilvl w:val="0"/>
          <w:numId w:val="9"/>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采购部：监督供应商执行VI要求。</w:t>
      </w:r>
    </w:p>
    <w:p w14:paraId="0E27C39A">
      <w:pPr>
        <w:numPr>
          <w:ilvl w:val="0"/>
          <w:numId w:val="9"/>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运营部：确保活动物料符合VI规范。 </w:t>
      </w:r>
    </w:p>
    <w:p w14:paraId="6E6BBDCF">
      <w:pPr>
        <w:numPr>
          <w:ilvl w:val="0"/>
          <w:numId w:val="9"/>
        </w:numPr>
        <w:ind w:left="425" w:leftChars="0" w:hanging="425" w:firstLineChars="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VI项目组长/副组长：负责VI手册的更新，审核所有涉及品牌视觉的对外输出内容。</w:t>
      </w:r>
      <w:r>
        <w:rPr>
          <w:rFonts w:hint="eastAsia" w:ascii="微软雅黑" w:hAnsi="微软雅黑" w:eastAsia="微软雅黑" w:cs="微软雅黑"/>
          <w:lang w:val="en-US" w:eastAsia="zh-CN"/>
        </w:rPr>
        <w:br w:type="textWrapping"/>
      </w:r>
      <w:r>
        <w:rPr>
          <w:rFonts w:hint="eastAsia" w:ascii="微软雅黑" w:hAnsi="微软雅黑" w:eastAsia="微软雅黑" w:cs="微软雅黑"/>
          <w:lang w:val="en-US" w:eastAsia="zh-CN"/>
        </w:rPr>
        <w:t>最终以立派实际部门为准, 解释及修订权在立派。</w:t>
      </w:r>
    </w:p>
    <w:p w14:paraId="7DA5B87D">
      <w:pPr>
        <w:rPr>
          <w:rFonts w:hint="eastAsia" w:ascii="微软雅黑" w:hAnsi="微软雅黑" w:eastAsia="微软雅黑" w:cs="微软雅黑"/>
          <w:lang w:val="en-US" w:eastAsia="zh-CN"/>
        </w:rPr>
      </w:pPr>
    </w:p>
    <w:p w14:paraId="2D6A1EEE">
      <w:pP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10【审批流程】</w:t>
      </w:r>
    </w:p>
    <w:p w14:paraId="5A84E153">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需求提交 → 现场复尺 → 设计部制作初稿 → 各组长部长审核 → 修正确认 → 存档备案输出 → 打样看样 → 各组长部长再现场校对 → 制作</w:t>
      </w:r>
    </w:p>
    <w:p w14:paraId="05827A76">
      <w:pPr>
        <w:rPr>
          <w:rFonts w:hint="eastAsia" w:ascii="微软雅黑" w:hAnsi="微软雅黑" w:eastAsia="微软雅黑" w:cs="微软雅黑"/>
          <w:lang w:val="en-US" w:eastAsia="zh-CN"/>
        </w:rPr>
      </w:pPr>
    </w:p>
    <w:p w14:paraId="10EE239F">
      <w:pPr>
        <w:numPr>
          <w:ilvl w:val="0"/>
          <w:numId w:val="0"/>
        </w:numPr>
        <w:ind w:leftChars="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11【定期检查与优化升级】</w:t>
      </w:r>
    </w:p>
    <w:p w14:paraId="193031EF">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每季度由VI项目组长牵头进行跨部门VI执行抽查，结果纳入部门考核。</w:t>
      </w:r>
    </w:p>
    <w:p w14:paraId="10DDEA4C">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每年组织一次VI系统评估，根据市场反馈优化升级、补充手册内容。 </w:t>
      </w:r>
    </w:p>
    <w:p w14:paraId="3842500F">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重大品牌升级时，需提前1个月通知各部门，组织VI更新说明会。   </w:t>
      </w:r>
    </w:p>
    <w:p w14:paraId="7413E98B">
      <w:pPr>
        <w:rPr>
          <w:rFonts w:hint="eastAsia" w:ascii="微软雅黑" w:hAnsi="微软雅黑" w:eastAsia="微软雅黑" w:cs="微软雅黑"/>
          <w:lang w:val="en-US" w:eastAsia="zh-CN"/>
        </w:rPr>
      </w:pPr>
    </w:p>
    <w:p w14:paraId="0F5E0466">
      <w:pPr>
        <w:numPr>
          <w:ilvl w:val="0"/>
          <w:numId w:val="1"/>
        </w:numPr>
        <w:jc w:val="left"/>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附则</w:t>
      </w:r>
    </w:p>
    <w:p w14:paraId="016A839B">
      <w:pPr>
        <w:numPr>
          <w:ilvl w:val="0"/>
          <w:numId w:val="11"/>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本制度自发布之日起生效，解释权归品牌部所有；  </w:t>
      </w:r>
    </w:p>
    <w:p w14:paraId="341E1251">
      <w:pPr>
        <w:numPr>
          <w:ilvl w:val="0"/>
          <w:numId w:val="11"/>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附件清单：  </w:t>
      </w:r>
    </w:p>
    <w:p w14:paraId="6C545BF9">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   - 《立派品牌VIS视觉识别手册指南》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Times New Roman Regular">
    <w:panose1 w:val="02020803070505020304"/>
    <w:charset w:val="00"/>
    <w:family w:val="auto"/>
    <w:pitch w:val="default"/>
    <w:sig w:usb0="E0002AEF" w:usb1="C0007841" w:usb2="00000009" w:usb3="00000000" w:csb0="400001FF" w:csb1="FFFF0000"/>
  </w:font>
  <w:font w:name="PingFang SC Regular">
    <w:panose1 w:val="020B0400000000000000"/>
    <w:charset w:val="86"/>
    <w:family w:val="auto"/>
    <w:pitch w:val="default"/>
    <w:sig w:usb0="A00002FF" w:usb1="7ACFFDFB" w:usb2="00000017" w:usb3="00000000" w:csb0="00040001" w:csb1="00000000"/>
  </w:font>
  <w:font w:name="Source Han Sans CN Regular">
    <w:panose1 w:val="020B0500000000000000"/>
    <w:charset w:val="86"/>
    <w:family w:val="auto"/>
    <w:pitch w:val="default"/>
    <w:sig w:usb0="20000003" w:usb1="2ADF3C10" w:usb2="00000016" w:usb3="00000000" w:csb0="60060107" w:csb1="00000000"/>
  </w:font>
  <w:font w:name="微软雅黑">
    <w:panose1 w:val="020B0503020204020204"/>
    <w:charset w:val="86"/>
    <w:family w:val="auto"/>
    <w:pitch w:val="default"/>
    <w:sig w:usb0="80000287" w:usb1="280F3C52" w:usb2="00000016" w:usb3="00000000" w:csb0="0004001F" w:csb1="00000000"/>
  </w:font>
  <w:font w:name="宋体-简">
    <w:panose1 w:val="02010800040101010101"/>
    <w:charset w:val="86"/>
    <w:family w:val="auto"/>
    <w:pitch w:val="default"/>
    <w:sig w:usb0="00000001" w:usb1="080F0000" w:usb2="00000000" w:usb3="00000000" w:csb0="00040000" w:csb1="00000000"/>
  </w:font>
  <w:font w:name="长城勘亭流繁">
    <w:panose1 w:val="0201060901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3C1833"/>
    <w:multiLevelType w:val="singleLevel"/>
    <w:tmpl w:val="BB3C1833"/>
    <w:lvl w:ilvl="0" w:tentative="0">
      <w:start w:val="1"/>
      <w:numFmt w:val="bullet"/>
      <w:lvlText w:val=""/>
      <w:lvlJc w:val="left"/>
      <w:pPr>
        <w:ind w:left="420" w:hanging="420"/>
      </w:pPr>
      <w:rPr>
        <w:rFonts w:hint="default" w:ascii="Wingdings" w:hAnsi="Wingdings"/>
      </w:rPr>
    </w:lvl>
  </w:abstractNum>
  <w:abstractNum w:abstractNumId="1">
    <w:nsid w:val="C7DE2304"/>
    <w:multiLevelType w:val="singleLevel"/>
    <w:tmpl w:val="C7DE2304"/>
    <w:lvl w:ilvl="0" w:tentative="0">
      <w:start w:val="1"/>
      <w:numFmt w:val="decimal"/>
      <w:lvlText w:val="%1)"/>
      <w:lvlJc w:val="left"/>
      <w:pPr>
        <w:ind w:left="425" w:hanging="425"/>
      </w:pPr>
      <w:rPr>
        <w:rFonts w:hint="default"/>
      </w:rPr>
    </w:lvl>
  </w:abstractNum>
  <w:abstractNum w:abstractNumId="2">
    <w:nsid w:val="EBFF9B02"/>
    <w:multiLevelType w:val="singleLevel"/>
    <w:tmpl w:val="EBFF9B02"/>
    <w:lvl w:ilvl="0" w:tentative="0">
      <w:start w:val="1"/>
      <w:numFmt w:val="bullet"/>
      <w:lvlText w:val=""/>
      <w:lvlJc w:val="left"/>
      <w:pPr>
        <w:ind w:left="420" w:hanging="420"/>
      </w:pPr>
      <w:rPr>
        <w:rFonts w:hint="default" w:ascii="Wingdings" w:hAnsi="Wingdings"/>
      </w:rPr>
    </w:lvl>
  </w:abstractNum>
  <w:abstractNum w:abstractNumId="3">
    <w:nsid w:val="EF5EFE71"/>
    <w:multiLevelType w:val="singleLevel"/>
    <w:tmpl w:val="EF5EFE71"/>
    <w:lvl w:ilvl="0" w:tentative="0">
      <w:start w:val="1"/>
      <w:numFmt w:val="decimal"/>
      <w:lvlText w:val="%1)"/>
      <w:lvlJc w:val="left"/>
      <w:pPr>
        <w:ind w:left="425" w:hanging="425"/>
      </w:pPr>
      <w:rPr>
        <w:rFonts w:hint="default"/>
      </w:rPr>
    </w:lvl>
  </w:abstractNum>
  <w:abstractNum w:abstractNumId="4">
    <w:nsid w:val="FB67DBBB"/>
    <w:multiLevelType w:val="singleLevel"/>
    <w:tmpl w:val="FB67DBBB"/>
    <w:lvl w:ilvl="0" w:tentative="0">
      <w:start w:val="1"/>
      <w:numFmt w:val="decimal"/>
      <w:lvlText w:val="%1)"/>
      <w:lvlJc w:val="left"/>
      <w:pPr>
        <w:ind w:left="425" w:hanging="425"/>
      </w:pPr>
      <w:rPr>
        <w:rFonts w:hint="default"/>
      </w:rPr>
    </w:lvl>
  </w:abstractNum>
  <w:abstractNum w:abstractNumId="5">
    <w:nsid w:val="FB7B5697"/>
    <w:multiLevelType w:val="singleLevel"/>
    <w:tmpl w:val="FB7B5697"/>
    <w:lvl w:ilvl="0" w:tentative="0">
      <w:start w:val="1"/>
      <w:numFmt w:val="decimal"/>
      <w:lvlText w:val="%1)"/>
      <w:lvlJc w:val="left"/>
      <w:pPr>
        <w:ind w:left="425" w:hanging="425"/>
      </w:pPr>
      <w:rPr>
        <w:rFonts w:hint="default"/>
      </w:rPr>
    </w:lvl>
  </w:abstractNum>
  <w:abstractNum w:abstractNumId="6">
    <w:nsid w:val="FE28837F"/>
    <w:multiLevelType w:val="singleLevel"/>
    <w:tmpl w:val="FE28837F"/>
    <w:lvl w:ilvl="0" w:tentative="0">
      <w:start w:val="1"/>
      <w:numFmt w:val="bullet"/>
      <w:lvlText w:val=""/>
      <w:lvlJc w:val="left"/>
      <w:pPr>
        <w:ind w:left="420" w:hanging="420"/>
      </w:pPr>
      <w:rPr>
        <w:rFonts w:hint="default" w:ascii="Wingdings" w:hAnsi="Wingdings"/>
      </w:rPr>
    </w:lvl>
  </w:abstractNum>
  <w:abstractNum w:abstractNumId="7">
    <w:nsid w:val="FEE7501E"/>
    <w:multiLevelType w:val="singleLevel"/>
    <w:tmpl w:val="FEE7501E"/>
    <w:lvl w:ilvl="0" w:tentative="0">
      <w:start w:val="1"/>
      <w:numFmt w:val="decimal"/>
      <w:lvlText w:val="%1)"/>
      <w:lvlJc w:val="left"/>
      <w:pPr>
        <w:ind w:left="425" w:hanging="425"/>
      </w:pPr>
      <w:rPr>
        <w:rFonts w:hint="default"/>
      </w:rPr>
    </w:lvl>
  </w:abstractNum>
  <w:abstractNum w:abstractNumId="8">
    <w:nsid w:val="36FA3A48"/>
    <w:multiLevelType w:val="singleLevel"/>
    <w:tmpl w:val="36FA3A48"/>
    <w:lvl w:ilvl="0" w:tentative="0">
      <w:start w:val="1"/>
      <w:numFmt w:val="chineseCounting"/>
      <w:suff w:val="nothing"/>
      <w:lvlText w:val="%1、"/>
      <w:lvlJc w:val="left"/>
      <w:rPr>
        <w:rFonts w:hint="eastAsia"/>
      </w:rPr>
    </w:lvl>
  </w:abstractNum>
  <w:abstractNum w:abstractNumId="9">
    <w:nsid w:val="3B6E5B1D"/>
    <w:multiLevelType w:val="singleLevel"/>
    <w:tmpl w:val="3B6E5B1D"/>
    <w:lvl w:ilvl="0" w:tentative="0">
      <w:start w:val="1"/>
      <w:numFmt w:val="decimal"/>
      <w:lvlText w:val="%1)"/>
      <w:lvlJc w:val="left"/>
      <w:pPr>
        <w:ind w:left="425" w:hanging="425"/>
      </w:pPr>
      <w:rPr>
        <w:rFonts w:hint="default"/>
      </w:rPr>
    </w:lvl>
  </w:abstractNum>
  <w:abstractNum w:abstractNumId="10">
    <w:nsid w:val="75FC6407"/>
    <w:multiLevelType w:val="singleLevel"/>
    <w:tmpl w:val="75FC6407"/>
    <w:lvl w:ilvl="0" w:tentative="0">
      <w:start w:val="1"/>
      <w:numFmt w:val="decimal"/>
      <w:lvlText w:val="%1)"/>
      <w:lvlJc w:val="left"/>
      <w:pPr>
        <w:ind w:left="425" w:hanging="425"/>
      </w:pPr>
      <w:rPr>
        <w:rFonts w:hint="default"/>
      </w:rPr>
    </w:lvl>
  </w:abstractNum>
  <w:num w:numId="1">
    <w:abstractNumId w:val="8"/>
  </w:num>
  <w:num w:numId="2">
    <w:abstractNumId w:val="2"/>
  </w:num>
  <w:num w:numId="3">
    <w:abstractNumId w:val="0"/>
  </w:num>
  <w:num w:numId="4">
    <w:abstractNumId w:val="6"/>
  </w:num>
  <w:num w:numId="5">
    <w:abstractNumId w:val="4"/>
  </w:num>
  <w:num w:numId="6">
    <w:abstractNumId w:val="10"/>
  </w:num>
  <w:num w:numId="7">
    <w:abstractNumId w:val="1"/>
  </w:num>
  <w:num w:numId="8">
    <w:abstractNumId w:val="7"/>
  </w:num>
  <w:num w:numId="9">
    <w:abstractNumId w:val="9"/>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8FF3566"/>
    <w:rsid w:val="3CF5293C"/>
    <w:rsid w:val="77FFD04C"/>
    <w:rsid w:val="C8FF3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115</TotalTime>
  <ScaleCrop>false</ScaleCrop>
  <LinksUpToDate>false</LinksUpToDate>
  <CharactersWithSpaces>0</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2025-05-13T13:13:00Z</dcterms:created>
  <dc:creator>祝公观</dc:creator>
  <cp:lastModifiedBy>祝公观</cp:lastModifiedBy>
  <dcterms:modified xsi:type="dcterms:W3CDTF">2025-05-13T15:09:25Z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2052-7.3.1.8967</vt:lpwstr>
  </property>
  <property fmtid="{D5CDD505-2E9C-101B-9397-08002B2CF9AE}" pid="3" name="ICV">
    <vt:lpwstr>18F2A16A29CC2882DFD4226807843770_41</vt:lpwstr>
  </property>
</Properties>
</file>